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1F37BF" w:rsidRDefault="001F37BF" w:rsidP="00702A2A">
      <w:pPr>
        <w:rPr>
          <w:b/>
          <w:sz w:val="24"/>
        </w:rPr>
      </w:pPr>
      <w:bookmarkStart w:id="0" w:name="bmStart"/>
      <w:bookmarkEnd w:id="0"/>
      <w:r w:rsidRPr="001F37BF">
        <w:rPr>
          <w:b/>
          <w:sz w:val="24"/>
        </w:rPr>
        <w:t>P</w:t>
      </w:r>
      <w:r>
        <w:rPr>
          <w:b/>
          <w:sz w:val="24"/>
        </w:rPr>
        <w:t>ublieksinformatie</w:t>
      </w:r>
      <w:r w:rsidRPr="001F37BF">
        <w:rPr>
          <w:b/>
          <w:sz w:val="24"/>
        </w:rPr>
        <w:t xml:space="preserve"> Cursus ‘EMDR bij mensen met een verstandelijke beperking en zwakbegaafdheid’</w:t>
      </w:r>
    </w:p>
    <w:p w:rsidR="001F37BF" w:rsidRDefault="001F37BF" w:rsidP="00702A2A">
      <w:r>
        <w:t>Postacademische cursus voor EMDR-therapeuten</w:t>
      </w:r>
    </w:p>
    <w:p w:rsidR="001F37BF" w:rsidRDefault="001F37BF" w:rsidP="00702A2A">
      <w:r>
        <w:t>GITP PAO</w:t>
      </w:r>
    </w:p>
    <w:p w:rsidR="001F37BF" w:rsidRDefault="001F37BF" w:rsidP="00702A2A"/>
    <w:p w:rsidR="001F37BF" w:rsidRPr="001F37BF" w:rsidRDefault="001F37BF" w:rsidP="00702A2A">
      <w:pPr>
        <w:rPr>
          <w:b/>
        </w:rPr>
      </w:pPr>
      <w:r w:rsidRPr="001F37BF">
        <w:rPr>
          <w:b/>
        </w:rPr>
        <w:t>Inhoud</w:t>
      </w:r>
    </w:p>
    <w:p w:rsidR="001F37BF" w:rsidRDefault="001F37BF" w:rsidP="001F37BF">
      <w:r>
        <w:t xml:space="preserve">Het staat vast dat mensen met een verstandelijke beperking of zwakbegaafdheid relatief vaak worden blootgesteld aan potentieel traumatische ervaringen en andere, op het eerste gezicht minder ingrijpende, negatieve levensgebeurtenissen. We weten ook dat zij een hoger risico lopen op het ontwikkelen van trauma- en </w:t>
      </w:r>
      <w:proofErr w:type="spellStart"/>
      <w:r>
        <w:t>stressorgerelateerde</w:t>
      </w:r>
      <w:proofErr w:type="spellEnd"/>
      <w:r>
        <w:t xml:space="preserve"> klachten, die -als ze onbehandeld blijven- het dagelijks functioneren belemmeren en </w:t>
      </w:r>
      <w:proofErr w:type="spellStart"/>
      <w:r>
        <w:t>lijdensdruk</w:t>
      </w:r>
      <w:proofErr w:type="spellEnd"/>
      <w:r>
        <w:t xml:space="preserve"> veroorzaken. De emotionele-en gedragsproblemen  zijn ook belastend voor de omgeving en doen een groot appél op ouders/verzorgers, begeleiders of leerkrachten.     Omdat EMDR een vorm van psychotherapie is die niet noodzakelijk een beroep doet op verbale mogelijkheden is deze methode bijzonder bruikbaar voor de behandeling van psychopathologie bij mensen met lichte, matige en zelfs ernstige verstandelijke beperkingen.</w:t>
      </w:r>
    </w:p>
    <w:p w:rsidR="001F37BF" w:rsidRDefault="001F37BF" w:rsidP="001F37BF"/>
    <w:p w:rsidR="001F37BF" w:rsidRDefault="001F37BF" w:rsidP="001F37BF">
      <w:r>
        <w:t xml:space="preserve">In deze cursus leer je wanneer behandeling met EMDR bij mensen met een verstandelijke beperking of zwakbegaafdheid is geïndiceerd is en op welke wijze EMDR (breed) kan worden toegepast bij trauma- en </w:t>
      </w:r>
      <w:proofErr w:type="spellStart"/>
      <w:r>
        <w:t>stressorgerelateerde</w:t>
      </w:r>
      <w:proofErr w:type="spellEnd"/>
      <w:r>
        <w:t xml:space="preserve"> klachten. Ook is er aandacht voor verschillende manieren waarop je  ouders, begeleiders of leerkrachten bij de behandeling kunt betrekken. </w:t>
      </w:r>
      <w:r>
        <w:tab/>
      </w:r>
      <w:r>
        <w:tab/>
      </w:r>
    </w:p>
    <w:p w:rsidR="001F37BF" w:rsidRDefault="001F37BF" w:rsidP="00702A2A"/>
    <w:p w:rsidR="001F37BF" w:rsidRDefault="001F37BF" w:rsidP="00702A2A">
      <w:pPr>
        <w:rPr>
          <w:b/>
        </w:rPr>
      </w:pPr>
      <w:r>
        <w:rPr>
          <w:b/>
        </w:rPr>
        <w:t>Doelgroep</w:t>
      </w:r>
    </w:p>
    <w:p w:rsidR="001F37BF" w:rsidRPr="001F37BF" w:rsidRDefault="001F37BF" w:rsidP="001F37BF">
      <w:pPr>
        <w:rPr>
          <w:lang w:val="nl"/>
        </w:rPr>
      </w:pPr>
      <w:r w:rsidRPr="001F37BF">
        <w:rPr>
          <w:lang w:val="nl"/>
        </w:rPr>
        <w:t xml:space="preserve">Werk je in de VG sector, in de GGZ, in een eigen praktijk,  in het onderwijs of elders waar je te maken hebt met cliënten met beperkte cognitieve vaardigheden? En ben je  als EMDR therapeut  op zoek naar handvatten om optimaal gebruik te maken van EMDR als psychotherapeutische behandelmethode voor cliënten met een verstandelijke beperking (IQ&lt;70)  of zwakbegaafdheid (IQ 70-85)? </w:t>
      </w:r>
    </w:p>
    <w:p w:rsidR="001F37BF" w:rsidRPr="001F37BF" w:rsidRDefault="001F37BF" w:rsidP="001F37BF">
      <w:pPr>
        <w:rPr>
          <w:lang w:val="nl"/>
        </w:rPr>
      </w:pPr>
    </w:p>
    <w:p w:rsidR="001F37BF" w:rsidRDefault="001F37BF" w:rsidP="001F37BF">
      <w:pPr>
        <w:rPr>
          <w:lang w:val="nl"/>
        </w:rPr>
      </w:pPr>
      <w:r w:rsidRPr="001F37BF">
        <w:rPr>
          <w:lang w:val="nl"/>
        </w:rPr>
        <w:t xml:space="preserve">In deze cursus leer je (1) met behulp van een voor deze doelgroep ontwikkeld klinisch interview (ADIS-C LVB sectie PTSS) je casusconceptualisatie aan te scherpen, (2) welke aanpassingen van de standaard werkwijze het activeren en verwerken van dysfunctioneel opgeslagen herinneringen bij mensen met een VB of zwakbegaafdheid  kunnen faciliteren en (3) hoe je de EMDR behandeling zowel op je cliënt als het cliëntsysteem kunt richten </w:t>
      </w:r>
    </w:p>
    <w:p w:rsidR="001F37BF" w:rsidRDefault="001F37BF" w:rsidP="001F37BF">
      <w:pPr>
        <w:rPr>
          <w:lang w:val="nl"/>
        </w:rPr>
      </w:pPr>
    </w:p>
    <w:p w:rsidR="001F37BF" w:rsidRPr="001F37BF" w:rsidRDefault="001F37BF" w:rsidP="001F37BF">
      <w:pPr>
        <w:rPr>
          <w:b/>
          <w:lang w:val="nl"/>
        </w:rPr>
      </w:pPr>
      <w:r w:rsidRPr="001F37BF">
        <w:rPr>
          <w:b/>
          <w:lang w:val="nl"/>
        </w:rPr>
        <w:t>Doelstelling</w:t>
      </w:r>
    </w:p>
    <w:p w:rsidR="001F37BF" w:rsidRPr="001F37BF" w:rsidRDefault="001F37BF" w:rsidP="001F37BF">
      <w:pPr>
        <w:pStyle w:val="Lijstalinea"/>
        <w:numPr>
          <w:ilvl w:val="0"/>
          <w:numId w:val="24"/>
        </w:numPr>
        <w:rPr>
          <w:lang w:val="nl"/>
        </w:rPr>
      </w:pPr>
      <w:r w:rsidRPr="001F37BF">
        <w:rPr>
          <w:lang w:val="nl"/>
        </w:rPr>
        <w:t>Na afloop van deze cursus beschik je over actuele kennis  ten aanzien van diagnostiek en behandeling van PTSS bij mensen met een VB of zwakbegaafdheid</w:t>
      </w:r>
    </w:p>
    <w:p w:rsidR="001F37BF" w:rsidRPr="001F37BF" w:rsidRDefault="001F37BF" w:rsidP="001F37BF">
      <w:pPr>
        <w:pStyle w:val="Lijstalinea"/>
        <w:numPr>
          <w:ilvl w:val="0"/>
          <w:numId w:val="24"/>
        </w:numPr>
        <w:rPr>
          <w:lang w:val="nl"/>
        </w:rPr>
      </w:pPr>
      <w:r w:rsidRPr="001F37BF">
        <w:rPr>
          <w:lang w:val="nl"/>
        </w:rPr>
        <w:t xml:space="preserve">Na afloop van deze cursus kun je de trauma- en stressor geschiedenis met de daaraan gerelateerde klachten op een systematische wijze in kaart brengen en benutten om tot een passende casusconceptualisatie te komen </w:t>
      </w:r>
    </w:p>
    <w:p w:rsidR="001F37BF" w:rsidRPr="001F37BF" w:rsidRDefault="001F37BF" w:rsidP="001F37BF">
      <w:pPr>
        <w:pStyle w:val="Lijstalinea"/>
        <w:numPr>
          <w:ilvl w:val="0"/>
          <w:numId w:val="24"/>
        </w:numPr>
        <w:rPr>
          <w:lang w:val="nl"/>
        </w:rPr>
      </w:pPr>
      <w:r w:rsidRPr="001F37BF">
        <w:rPr>
          <w:lang w:val="nl"/>
        </w:rPr>
        <w:t>Na afloop van deze cursus weet je op welke wijze de standaard werkwijze bij EMDR  kan worden aangepast voor mensen met een verstandelijke beperking, ook als er tevens sprake is van een autismespectrumstoornis</w:t>
      </w:r>
    </w:p>
    <w:p w:rsidR="001F37BF" w:rsidRPr="001F37BF" w:rsidRDefault="001F37BF" w:rsidP="001F37BF">
      <w:pPr>
        <w:pStyle w:val="Lijstalinea"/>
        <w:numPr>
          <w:ilvl w:val="0"/>
          <w:numId w:val="24"/>
        </w:numPr>
        <w:rPr>
          <w:lang w:val="nl"/>
        </w:rPr>
      </w:pPr>
      <w:r w:rsidRPr="001F37BF">
        <w:rPr>
          <w:lang w:val="nl"/>
        </w:rPr>
        <w:t>Na afloop van deze cursus kun je belangrijke personen uit het netwerk van de cliënt bij de behandeling betrekken op een manier die het rendement van je behandeling vergroot</w:t>
      </w:r>
    </w:p>
    <w:p w:rsidR="001F37BF" w:rsidRDefault="001F37BF" w:rsidP="001F37BF">
      <w:pPr>
        <w:pStyle w:val="Lijstalinea"/>
        <w:numPr>
          <w:ilvl w:val="0"/>
          <w:numId w:val="24"/>
        </w:numPr>
        <w:rPr>
          <w:lang w:val="nl"/>
        </w:rPr>
      </w:pPr>
      <w:r w:rsidRPr="001F37BF">
        <w:rPr>
          <w:lang w:val="nl"/>
        </w:rPr>
        <w:t>Na afloop van deze cursus heb je vaardigheden ontwikkeld om de mogelijkeden van EMDR optimaal te benutten  bij cliënten met een verstandelijke beperking of zwakbegaafdheid</w:t>
      </w:r>
    </w:p>
    <w:p w:rsidR="001F37BF" w:rsidRDefault="001F37BF" w:rsidP="001F37BF">
      <w:pPr>
        <w:rPr>
          <w:b/>
          <w:lang w:val="nl"/>
        </w:rPr>
      </w:pPr>
    </w:p>
    <w:p w:rsidR="001F37BF" w:rsidRDefault="001F37BF" w:rsidP="001F37BF">
      <w:pPr>
        <w:rPr>
          <w:b/>
          <w:lang w:val="nl"/>
        </w:rPr>
      </w:pPr>
      <w:r>
        <w:rPr>
          <w:b/>
          <w:lang w:val="nl"/>
        </w:rPr>
        <w:t xml:space="preserve">Werkwijze </w:t>
      </w:r>
    </w:p>
    <w:p w:rsidR="001F37BF" w:rsidRPr="001F37BF" w:rsidRDefault="001F37BF" w:rsidP="001F37BF">
      <w:pPr>
        <w:rPr>
          <w:lang w:val="nl"/>
        </w:rPr>
      </w:pPr>
      <w:r w:rsidRPr="001F37BF">
        <w:rPr>
          <w:lang w:val="nl"/>
        </w:rPr>
        <w:t xml:space="preserve">Voorafgaand aan elke bijeenkomst bestudeer je de voorgeschreven literatuur en voer je opgegeven opdrachten uit. Tijdens de cursus krijg je theoretische inleidingen, ondersteund door praktijkvoorbeelden, en wordt de door de deelnemers ingebrachte casuïstiek besproken.  </w:t>
      </w:r>
    </w:p>
    <w:p w:rsidR="001F37BF" w:rsidRDefault="001F37BF" w:rsidP="001F37BF">
      <w:pPr>
        <w:rPr>
          <w:lang w:val="nl"/>
        </w:rPr>
      </w:pPr>
      <w:r w:rsidRPr="001F37BF">
        <w:rPr>
          <w:lang w:val="nl"/>
        </w:rPr>
        <w:t>Op de eerste dag van de cursus breng je videobeelden in van de afname van het klinisch interview dat je vooraf hebt bestudeerd en uitgeprobeerd. Op de tweede en/of derde cursusdag breng je een casus in uit je eigen praktijk, d.w.z.videobeelden van een door jou zelf uitgevoerde EMDR-behandeling. Je moet rekening houden met een gemiddelde voorbereidingstijd van ongeveer zes uur per cursusdag, inclusief literatuurstudie en praktijkopdracht.</w:t>
      </w:r>
      <w:r w:rsidRPr="001F37BF">
        <w:rPr>
          <w:lang w:val="nl"/>
        </w:rPr>
        <w:tab/>
      </w:r>
    </w:p>
    <w:p w:rsidR="001F37BF" w:rsidRDefault="001F37BF" w:rsidP="001F37BF">
      <w:pPr>
        <w:rPr>
          <w:lang w:val="nl"/>
        </w:rPr>
      </w:pPr>
    </w:p>
    <w:p w:rsidR="001F37BF" w:rsidRDefault="001F37BF" w:rsidP="001F37BF">
      <w:pPr>
        <w:rPr>
          <w:b/>
          <w:lang w:val="nl"/>
        </w:rPr>
      </w:pPr>
      <w:r>
        <w:rPr>
          <w:b/>
          <w:lang w:val="nl"/>
        </w:rPr>
        <w:t>Docenten</w:t>
      </w:r>
    </w:p>
    <w:p w:rsidR="001F37BF" w:rsidRPr="001F37BF" w:rsidRDefault="001F37BF" w:rsidP="001F37BF">
      <w:pPr>
        <w:rPr>
          <w:lang w:val="nl"/>
        </w:rPr>
      </w:pPr>
      <w:r w:rsidRPr="001F37BF">
        <w:rPr>
          <w:lang w:val="nl"/>
        </w:rPr>
        <w:t>Drs. Liesbeth Mevissen  is orthopedagoog-generalist, ,klinisch psycholoog en EMDR supervisor. Ze is in dienst bij GGZ Friesland en werkzaam  in Drachten op de poli jeugd  van De Swaai, centrum voor verstandelijke beperking en psychiatrie. Liesbeth doet promotieonderzoek naar PTSS en de behandeling van PTSS bij mensen met een VB.</w:t>
      </w:r>
    </w:p>
    <w:p w:rsidR="001F37BF" w:rsidRDefault="001F37BF" w:rsidP="001F37BF">
      <w:pPr>
        <w:rPr>
          <w:lang w:val="nl"/>
        </w:rPr>
      </w:pPr>
      <w:r w:rsidRPr="001F37BF">
        <w:rPr>
          <w:lang w:val="nl"/>
        </w:rPr>
        <w:lastRenderedPageBreak/>
        <w:t>Een quote van Liesbeth:"De persoonlijke beleving van de cliënt en naast betrokkenen is essentieel in beeldvorming en behandeling. Zonder positieve gedachten en gevoelens komen cliënten noch opvoeders of begeleiders in hun kracht."</w:t>
      </w:r>
    </w:p>
    <w:p w:rsidR="001F37BF" w:rsidRDefault="001F37BF" w:rsidP="001F37BF">
      <w:pPr>
        <w:rPr>
          <w:lang w:val="nl"/>
        </w:rPr>
      </w:pPr>
    </w:p>
    <w:p w:rsidR="001F37BF" w:rsidRDefault="001F37BF" w:rsidP="001F37BF">
      <w:pPr>
        <w:rPr>
          <w:rFonts w:cs="Arial"/>
          <w:szCs w:val="19"/>
          <w:lang w:val="nl"/>
        </w:rPr>
      </w:pPr>
      <w:r>
        <w:rPr>
          <w:rFonts w:cs="Arial"/>
          <w:szCs w:val="19"/>
          <w:lang w:val="nl"/>
        </w:rPr>
        <w:t>Reinout Lievegoed is kinder- en jeugdpsychiater met als speciaal aandachtsgebied mensen met een verstandelijke beperking en/of een autismespectrumstoornis. Hij is EMDR-therapeut Level II. Reinout is werkzaam als consulent en was jarenlang verbonden aan de Zonnehuizen te Zeist.</w:t>
      </w:r>
    </w:p>
    <w:p w:rsidR="001F37BF" w:rsidRDefault="001F37BF" w:rsidP="001F37BF">
      <w:pPr>
        <w:rPr>
          <w:rFonts w:cs="Arial"/>
          <w:szCs w:val="19"/>
          <w:lang w:val="nl"/>
        </w:rPr>
      </w:pPr>
    </w:p>
    <w:p w:rsidR="001F37BF" w:rsidRDefault="001F37BF" w:rsidP="001F37BF">
      <w:pPr>
        <w:rPr>
          <w:rFonts w:cs="Arial"/>
          <w:b/>
          <w:szCs w:val="19"/>
          <w:lang w:val="nl"/>
        </w:rPr>
      </w:pPr>
      <w:r>
        <w:rPr>
          <w:rFonts w:cs="Arial"/>
          <w:b/>
          <w:szCs w:val="19"/>
          <w:lang w:val="nl"/>
        </w:rPr>
        <w:t>Accreditaties</w:t>
      </w:r>
    </w:p>
    <w:p w:rsidR="001F37BF" w:rsidRPr="001F37BF" w:rsidRDefault="001F37BF" w:rsidP="001F37BF">
      <w:pPr>
        <w:pStyle w:val="Lijstalinea"/>
        <w:numPr>
          <w:ilvl w:val="0"/>
          <w:numId w:val="25"/>
        </w:numPr>
        <w:rPr>
          <w:b/>
          <w:lang w:val="nl"/>
        </w:rPr>
      </w:pPr>
      <w:r>
        <w:rPr>
          <w:lang w:val="nl"/>
        </w:rPr>
        <w:t>Heregistratie NVO Orthopedagoog-Generalist/NIP Kind- en Jeugdpsycholoog</w:t>
      </w:r>
    </w:p>
    <w:p w:rsidR="001F37BF" w:rsidRPr="001F37BF" w:rsidRDefault="001F37BF" w:rsidP="001F37BF">
      <w:pPr>
        <w:pStyle w:val="Lijstalinea"/>
        <w:numPr>
          <w:ilvl w:val="0"/>
          <w:numId w:val="25"/>
        </w:numPr>
        <w:rPr>
          <w:b/>
          <w:lang w:val="nl"/>
        </w:rPr>
      </w:pPr>
      <w:r>
        <w:rPr>
          <w:lang w:val="nl"/>
        </w:rPr>
        <w:t>Bij- en nascholing Vereniging EMDR Nederland</w:t>
      </w:r>
    </w:p>
    <w:p w:rsidR="001F37BF" w:rsidRDefault="001F37BF" w:rsidP="001F37BF">
      <w:pPr>
        <w:rPr>
          <w:b/>
          <w:lang w:val="nl"/>
        </w:rPr>
      </w:pPr>
    </w:p>
    <w:p w:rsidR="001F37BF" w:rsidRDefault="001F37BF" w:rsidP="001F37BF">
      <w:pPr>
        <w:rPr>
          <w:b/>
          <w:lang w:val="nl"/>
        </w:rPr>
      </w:pPr>
      <w:r>
        <w:rPr>
          <w:b/>
          <w:lang w:val="nl"/>
        </w:rPr>
        <w:t>Programma</w:t>
      </w:r>
    </w:p>
    <w:tbl>
      <w:tblPr>
        <w:tblW w:w="9245" w:type="dxa"/>
        <w:tblInd w:w="108" w:type="dxa"/>
        <w:tblLayout w:type="fixed"/>
        <w:tblLook w:val="0000" w:firstRow="0" w:lastRow="0" w:firstColumn="0" w:lastColumn="0" w:noHBand="0" w:noVBand="0"/>
      </w:tblPr>
      <w:tblGrid>
        <w:gridCol w:w="1873"/>
        <w:gridCol w:w="1701"/>
        <w:gridCol w:w="1417"/>
        <w:gridCol w:w="1701"/>
        <w:gridCol w:w="2553"/>
      </w:tblGrid>
      <w:tr w:rsidR="001F37BF" w:rsidTr="001F37BF">
        <w:trPr>
          <w:trHeight w:val="1"/>
        </w:trPr>
        <w:tc>
          <w:tcPr>
            <w:tcW w:w="1873" w:type="dxa"/>
            <w:tcBorders>
              <w:top w:val="single" w:sz="3" w:space="0" w:color="000000"/>
              <w:left w:val="single" w:sz="3" w:space="0" w:color="000000"/>
              <w:bottom w:val="single" w:sz="3" w:space="0" w:color="000000"/>
              <w:right w:val="single" w:sz="3" w:space="0" w:color="000000"/>
            </w:tcBorders>
            <w:shd w:val="clear" w:color="auto" w:fill="9ED2D7"/>
          </w:tcPr>
          <w:p w:rsidR="001F37BF" w:rsidRDefault="001F37BF" w:rsidP="001F37BF">
            <w:pPr>
              <w:autoSpaceDE w:val="0"/>
              <w:autoSpaceDN w:val="0"/>
              <w:adjustRightInd w:val="0"/>
              <w:rPr>
                <w:rFonts w:ascii="Calibri" w:hAnsi="Calibri" w:cs="Calibri"/>
                <w:sz w:val="22"/>
                <w:szCs w:val="22"/>
                <w:lang w:val="nl"/>
              </w:rPr>
            </w:pPr>
            <w:r>
              <w:rPr>
                <w:rFonts w:cs="Arial"/>
                <w:b/>
                <w:bCs/>
                <w:szCs w:val="19"/>
                <w:lang w:val="nl"/>
              </w:rPr>
              <w:t>Online contacturen</w:t>
            </w:r>
          </w:p>
        </w:tc>
        <w:tc>
          <w:tcPr>
            <w:tcW w:w="1701" w:type="dxa"/>
            <w:tcBorders>
              <w:top w:val="single" w:sz="3" w:space="0" w:color="000000"/>
              <w:left w:val="single" w:sz="3" w:space="0" w:color="000000"/>
              <w:bottom w:val="single" w:sz="3" w:space="0" w:color="000000"/>
              <w:right w:val="single" w:sz="3" w:space="0" w:color="000000"/>
            </w:tcBorders>
            <w:shd w:val="clear" w:color="auto" w:fill="9ED2D7"/>
          </w:tcPr>
          <w:p w:rsidR="001F37BF" w:rsidRDefault="001F37BF" w:rsidP="001F37BF">
            <w:pPr>
              <w:autoSpaceDE w:val="0"/>
              <w:autoSpaceDN w:val="0"/>
              <w:adjustRightInd w:val="0"/>
              <w:rPr>
                <w:rFonts w:ascii="Calibri" w:hAnsi="Calibri" w:cs="Calibri"/>
                <w:sz w:val="22"/>
                <w:szCs w:val="22"/>
                <w:lang w:val="nl"/>
              </w:rPr>
            </w:pPr>
            <w:r>
              <w:rPr>
                <w:rFonts w:cs="Arial"/>
                <w:b/>
                <w:bCs/>
                <w:szCs w:val="19"/>
                <w:lang w:val="nl"/>
              </w:rPr>
              <w:t>Klassikale contacturen</w:t>
            </w:r>
          </w:p>
        </w:tc>
        <w:tc>
          <w:tcPr>
            <w:tcW w:w="1417" w:type="dxa"/>
            <w:tcBorders>
              <w:top w:val="single" w:sz="3" w:space="0" w:color="000000"/>
              <w:left w:val="single" w:sz="3" w:space="0" w:color="000000"/>
              <w:bottom w:val="single" w:sz="3" w:space="0" w:color="000000"/>
              <w:right w:val="single" w:sz="3" w:space="0" w:color="000000"/>
            </w:tcBorders>
            <w:shd w:val="clear" w:color="auto" w:fill="9ED2D7"/>
          </w:tcPr>
          <w:p w:rsidR="001F37BF" w:rsidRDefault="001F37BF" w:rsidP="001F37BF">
            <w:pPr>
              <w:autoSpaceDE w:val="0"/>
              <w:autoSpaceDN w:val="0"/>
              <w:adjustRightInd w:val="0"/>
              <w:rPr>
                <w:rFonts w:ascii="Calibri" w:hAnsi="Calibri" w:cs="Calibri"/>
                <w:sz w:val="22"/>
                <w:szCs w:val="22"/>
                <w:lang w:val="nl"/>
              </w:rPr>
            </w:pPr>
            <w:r>
              <w:rPr>
                <w:rFonts w:cs="Arial"/>
                <w:b/>
                <w:bCs/>
                <w:szCs w:val="19"/>
                <w:lang w:val="nl"/>
              </w:rPr>
              <w:t>Zelfstudie uren</w:t>
            </w:r>
          </w:p>
        </w:tc>
        <w:tc>
          <w:tcPr>
            <w:tcW w:w="1701" w:type="dxa"/>
            <w:tcBorders>
              <w:top w:val="single" w:sz="3" w:space="0" w:color="000000"/>
              <w:left w:val="single" w:sz="3" w:space="0" w:color="000000"/>
              <w:bottom w:val="single" w:sz="3" w:space="0" w:color="000000"/>
              <w:right w:val="single" w:sz="3" w:space="0" w:color="000000"/>
            </w:tcBorders>
            <w:shd w:val="clear" w:color="auto" w:fill="9ED2D7"/>
          </w:tcPr>
          <w:p w:rsidR="001F37BF" w:rsidRDefault="001F37BF" w:rsidP="001F37BF">
            <w:pPr>
              <w:autoSpaceDE w:val="0"/>
              <w:autoSpaceDN w:val="0"/>
              <w:adjustRightInd w:val="0"/>
              <w:rPr>
                <w:rFonts w:cs="Arial"/>
                <w:b/>
                <w:bCs/>
                <w:szCs w:val="19"/>
                <w:lang w:val="nl"/>
              </w:rPr>
            </w:pPr>
            <w:r>
              <w:rPr>
                <w:rFonts w:cs="Arial"/>
                <w:b/>
                <w:bCs/>
                <w:szCs w:val="19"/>
                <w:lang w:val="nl"/>
              </w:rPr>
              <w:t>Totaal</w:t>
            </w:r>
          </w:p>
          <w:p w:rsidR="001F37BF" w:rsidRDefault="001F37BF" w:rsidP="001F37BF">
            <w:pPr>
              <w:autoSpaceDE w:val="0"/>
              <w:autoSpaceDN w:val="0"/>
              <w:adjustRightInd w:val="0"/>
              <w:rPr>
                <w:rFonts w:ascii="Calibri" w:hAnsi="Calibri" w:cs="Calibri"/>
                <w:sz w:val="22"/>
                <w:szCs w:val="22"/>
                <w:lang w:val="nl"/>
              </w:rPr>
            </w:pPr>
          </w:p>
        </w:tc>
        <w:tc>
          <w:tcPr>
            <w:tcW w:w="2553" w:type="dxa"/>
            <w:tcBorders>
              <w:top w:val="single" w:sz="3" w:space="0" w:color="000000"/>
              <w:left w:val="single" w:sz="3" w:space="0" w:color="000000"/>
              <w:bottom w:val="single" w:sz="3" w:space="0" w:color="000000"/>
              <w:right w:val="single" w:sz="3" w:space="0" w:color="000000"/>
            </w:tcBorders>
            <w:shd w:val="clear" w:color="auto" w:fill="9ED2D7"/>
          </w:tcPr>
          <w:p w:rsidR="001F37BF" w:rsidRDefault="001F37BF" w:rsidP="001F37BF">
            <w:pPr>
              <w:autoSpaceDE w:val="0"/>
              <w:autoSpaceDN w:val="0"/>
              <w:adjustRightInd w:val="0"/>
              <w:rPr>
                <w:rFonts w:cs="Arial"/>
                <w:b/>
                <w:bCs/>
                <w:szCs w:val="19"/>
                <w:lang w:val="nl"/>
              </w:rPr>
            </w:pPr>
            <w:r>
              <w:rPr>
                <w:rFonts w:cs="Arial"/>
                <w:b/>
                <w:bCs/>
                <w:szCs w:val="19"/>
                <w:lang w:val="nl"/>
              </w:rPr>
              <w:t>Onderwerp</w:t>
            </w:r>
          </w:p>
          <w:p w:rsidR="001F37BF" w:rsidRDefault="001F37BF" w:rsidP="001F37BF">
            <w:pPr>
              <w:autoSpaceDE w:val="0"/>
              <w:autoSpaceDN w:val="0"/>
              <w:adjustRightInd w:val="0"/>
              <w:rPr>
                <w:rFonts w:ascii="Calibri" w:hAnsi="Calibri" w:cs="Calibri"/>
                <w:sz w:val="22"/>
                <w:szCs w:val="22"/>
                <w:lang w:val="nl"/>
              </w:rPr>
            </w:pPr>
          </w:p>
        </w:tc>
      </w:tr>
      <w:tr w:rsidR="001F37BF" w:rsidTr="001F37BF">
        <w:trPr>
          <w:trHeight w:val="1"/>
        </w:trPr>
        <w:tc>
          <w:tcPr>
            <w:tcW w:w="1873" w:type="dxa"/>
            <w:tcBorders>
              <w:top w:val="single" w:sz="3" w:space="0" w:color="000000"/>
              <w:left w:val="single" w:sz="3" w:space="0" w:color="000000"/>
              <w:bottom w:val="single" w:sz="3" w:space="0" w:color="000000"/>
              <w:right w:val="single" w:sz="3" w:space="0" w:color="000000"/>
            </w:tcBorders>
            <w:shd w:val="clear" w:color="000000" w:fill="FFFFFF"/>
          </w:tcPr>
          <w:p w:rsidR="001F37BF" w:rsidRPr="008165A1" w:rsidRDefault="001F37BF" w:rsidP="001F37BF">
            <w:pPr>
              <w:autoSpaceDE w:val="0"/>
              <w:autoSpaceDN w:val="0"/>
              <w:adjustRightInd w:val="0"/>
              <w:rPr>
                <w:rFonts w:ascii="Calibri" w:hAnsi="Calibri" w:cs="Calibri"/>
                <w:sz w:val="22"/>
                <w:szCs w:val="22"/>
                <w:lang w:val="nl"/>
              </w:rPr>
            </w:pPr>
            <w:r w:rsidRPr="008165A1">
              <w:rPr>
                <w:rFonts w:cs="Arial"/>
                <w:szCs w:val="19"/>
                <w:lang w:val="nl"/>
              </w:rPr>
              <w:t>40 minuten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cs="Arial"/>
                <w:szCs w:val="19"/>
                <w:lang w:val="nl"/>
              </w:rPr>
              <w:t>6 uur</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cs="Arial"/>
                <w:szCs w:val="19"/>
                <w:lang w:val="nl"/>
              </w:rPr>
              <w:t>6 uur</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ascii="Calibri" w:hAnsi="Calibri" w:cs="Calibri"/>
                <w:sz w:val="22"/>
                <w:szCs w:val="22"/>
                <w:lang w:val="nl"/>
              </w:rPr>
              <w:t>12 uur 40 min</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tcPr>
          <w:p w:rsidR="001F37BF" w:rsidRPr="007C3481" w:rsidRDefault="001F37BF" w:rsidP="001F37BF">
            <w:pPr>
              <w:autoSpaceDE w:val="0"/>
              <w:autoSpaceDN w:val="0"/>
              <w:adjustRightInd w:val="0"/>
              <w:rPr>
                <w:rFonts w:ascii="Calibri" w:hAnsi="Calibri" w:cs="Calibri"/>
                <w:sz w:val="22"/>
                <w:szCs w:val="22"/>
                <w:lang w:val="nl"/>
              </w:rPr>
            </w:pPr>
            <w:r w:rsidRPr="007C3481">
              <w:rPr>
                <w:rFonts w:cs="Arial"/>
                <w:szCs w:val="19"/>
                <w:lang w:val="nl"/>
              </w:rPr>
              <w:t xml:space="preserve">Casusconceptualisatie en specifieke aandachtspunten bij de toepassing van EMDR bij VB en zwakbegaafdheid </w:t>
            </w:r>
          </w:p>
        </w:tc>
      </w:tr>
      <w:tr w:rsidR="001F37BF" w:rsidTr="001F37BF">
        <w:trPr>
          <w:trHeight w:val="1"/>
        </w:trPr>
        <w:tc>
          <w:tcPr>
            <w:tcW w:w="1873" w:type="dxa"/>
            <w:tcBorders>
              <w:top w:val="single" w:sz="3" w:space="0" w:color="000000"/>
              <w:left w:val="single" w:sz="3" w:space="0" w:color="000000"/>
              <w:bottom w:val="single" w:sz="3" w:space="0" w:color="000000"/>
              <w:right w:val="single" w:sz="3" w:space="0" w:color="000000"/>
            </w:tcBorders>
            <w:shd w:val="clear" w:color="000000" w:fill="FFFFFF"/>
          </w:tcPr>
          <w:p w:rsidR="001F37BF" w:rsidRPr="008165A1" w:rsidRDefault="001F37BF" w:rsidP="001F37BF">
            <w:pPr>
              <w:autoSpaceDE w:val="0"/>
              <w:autoSpaceDN w:val="0"/>
              <w:adjustRightInd w:val="0"/>
              <w:rPr>
                <w:rFonts w:ascii="Calibri" w:hAnsi="Calibri" w:cs="Calibri"/>
                <w:sz w:val="22"/>
                <w:szCs w:val="22"/>
                <w:lang w:val="nl"/>
              </w:rPr>
            </w:pPr>
            <w:r w:rsidRPr="008165A1">
              <w:rPr>
                <w:rFonts w:cs="Arial"/>
                <w:szCs w:val="19"/>
                <w:lang w:val="nl"/>
              </w:rPr>
              <w:t>40 minuten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cs="Arial"/>
                <w:szCs w:val="19"/>
                <w:lang w:val="nl"/>
              </w:rPr>
              <w:t>6 uur</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cs="Arial"/>
                <w:szCs w:val="19"/>
                <w:lang w:val="nl"/>
              </w:rPr>
              <w:t>6 uur</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ascii="Calibri" w:hAnsi="Calibri" w:cs="Calibri"/>
                <w:sz w:val="22"/>
                <w:szCs w:val="22"/>
                <w:lang w:val="nl"/>
              </w:rPr>
              <w:t>12 uur 40 min</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tcPr>
          <w:p w:rsidR="001F37BF" w:rsidRPr="007C3481" w:rsidRDefault="001F37BF" w:rsidP="001F37BF">
            <w:pPr>
              <w:autoSpaceDE w:val="0"/>
              <w:autoSpaceDN w:val="0"/>
              <w:adjustRightInd w:val="0"/>
              <w:rPr>
                <w:rFonts w:ascii="Calibri" w:hAnsi="Calibri" w:cs="Calibri"/>
                <w:sz w:val="22"/>
                <w:szCs w:val="22"/>
                <w:lang w:val="nl"/>
              </w:rPr>
            </w:pPr>
            <w:r w:rsidRPr="007C3481">
              <w:rPr>
                <w:rFonts w:cs="Arial"/>
                <w:szCs w:val="19"/>
                <w:lang w:val="nl"/>
              </w:rPr>
              <w:t xml:space="preserve">Specifieke toepassingen: EMDR als er tevens sprake is van een autismespectrumstoornis,  gebruik van de verhalenmethode en systemisch werken met EMDR </w:t>
            </w:r>
          </w:p>
        </w:tc>
      </w:tr>
      <w:tr w:rsidR="001F37BF" w:rsidTr="001F37BF">
        <w:trPr>
          <w:trHeight w:val="1"/>
        </w:trPr>
        <w:tc>
          <w:tcPr>
            <w:tcW w:w="1873" w:type="dxa"/>
            <w:tcBorders>
              <w:top w:val="single" w:sz="3" w:space="0" w:color="000000"/>
              <w:left w:val="single" w:sz="3" w:space="0" w:color="000000"/>
              <w:bottom w:val="single" w:sz="3" w:space="0" w:color="000000"/>
              <w:right w:val="single" w:sz="3" w:space="0" w:color="000000"/>
            </w:tcBorders>
            <w:shd w:val="clear" w:color="000000" w:fill="FFFFFF"/>
          </w:tcPr>
          <w:p w:rsidR="001F37BF" w:rsidRPr="008165A1" w:rsidRDefault="001F37BF" w:rsidP="001F37BF">
            <w:pPr>
              <w:autoSpaceDE w:val="0"/>
              <w:autoSpaceDN w:val="0"/>
              <w:adjustRightInd w:val="0"/>
              <w:rPr>
                <w:rFonts w:ascii="Calibri" w:hAnsi="Calibri" w:cs="Calibri"/>
                <w:sz w:val="22"/>
                <w:szCs w:val="22"/>
                <w:lang w:val="nl"/>
              </w:rPr>
            </w:pPr>
            <w:r w:rsidRPr="008165A1">
              <w:rPr>
                <w:rFonts w:cs="Arial"/>
                <w:szCs w:val="19"/>
                <w:lang w:val="nl"/>
              </w:rPr>
              <w:t>40 minuten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cs="Arial"/>
                <w:szCs w:val="19"/>
                <w:lang w:val="nl"/>
              </w:rPr>
              <w:t>6 uur</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cs="Arial"/>
                <w:szCs w:val="19"/>
                <w:lang w:val="nl"/>
              </w:rPr>
              <w:t>6 uur</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ascii="Calibri" w:hAnsi="Calibri" w:cs="Calibri"/>
                <w:sz w:val="22"/>
                <w:szCs w:val="22"/>
                <w:lang w:val="nl"/>
              </w:rPr>
              <w:t>12 uur 40 min</w:t>
            </w:r>
          </w:p>
        </w:tc>
        <w:tc>
          <w:tcPr>
            <w:tcW w:w="2553" w:type="dxa"/>
            <w:tcBorders>
              <w:top w:val="single" w:sz="3" w:space="0" w:color="000000"/>
              <w:left w:val="single" w:sz="3" w:space="0" w:color="000000"/>
              <w:bottom w:val="single" w:sz="3" w:space="0" w:color="000000"/>
              <w:right w:val="single" w:sz="3" w:space="0" w:color="000000"/>
            </w:tcBorders>
            <w:shd w:val="clear" w:color="000000" w:fill="FFFFFF"/>
          </w:tcPr>
          <w:p w:rsidR="001F37BF" w:rsidRPr="007C3481" w:rsidRDefault="001F37BF" w:rsidP="001F37BF">
            <w:pPr>
              <w:autoSpaceDE w:val="0"/>
              <w:autoSpaceDN w:val="0"/>
              <w:adjustRightInd w:val="0"/>
              <w:rPr>
                <w:rFonts w:ascii="Calibri" w:hAnsi="Calibri" w:cs="Calibri"/>
                <w:sz w:val="22"/>
                <w:szCs w:val="22"/>
                <w:lang w:val="nl"/>
              </w:rPr>
            </w:pPr>
            <w:r w:rsidRPr="007C3481">
              <w:rPr>
                <w:rFonts w:cs="Arial"/>
                <w:szCs w:val="19"/>
                <w:lang w:val="nl"/>
              </w:rPr>
              <w:t xml:space="preserve">Verdieping specifieke toepassingen </w:t>
            </w:r>
          </w:p>
        </w:tc>
      </w:tr>
      <w:tr w:rsidR="001F37BF" w:rsidTr="001F37BF">
        <w:trPr>
          <w:trHeight w:val="1"/>
        </w:trPr>
        <w:tc>
          <w:tcPr>
            <w:tcW w:w="1873" w:type="dxa"/>
            <w:tcBorders>
              <w:top w:val="single" w:sz="14" w:space="0" w:color="000000"/>
              <w:left w:val="single" w:sz="14" w:space="0" w:color="000000"/>
              <w:bottom w:val="single" w:sz="14" w:space="0" w:color="000000"/>
              <w:right w:val="single" w:sz="14" w:space="0" w:color="000000"/>
            </w:tcBorders>
            <w:shd w:val="clear" w:color="000000" w:fill="FFFFFF"/>
          </w:tcPr>
          <w:p w:rsidR="001F37BF" w:rsidRPr="008165A1" w:rsidRDefault="001F37BF" w:rsidP="001F37BF">
            <w:pPr>
              <w:autoSpaceDE w:val="0"/>
              <w:autoSpaceDN w:val="0"/>
              <w:adjustRightInd w:val="0"/>
              <w:rPr>
                <w:rFonts w:ascii="Calibri" w:hAnsi="Calibri" w:cs="Calibri"/>
                <w:sz w:val="22"/>
                <w:szCs w:val="22"/>
                <w:lang w:val="nl"/>
              </w:rPr>
            </w:pPr>
            <w:r w:rsidRPr="008165A1">
              <w:rPr>
                <w:rFonts w:ascii="Calibri" w:hAnsi="Calibri" w:cs="Calibri"/>
                <w:sz w:val="22"/>
                <w:szCs w:val="22"/>
                <w:lang w:val="nl"/>
              </w:rPr>
              <w:t>2 uur</w:t>
            </w:r>
          </w:p>
        </w:tc>
        <w:tc>
          <w:tcPr>
            <w:tcW w:w="1701" w:type="dxa"/>
            <w:tcBorders>
              <w:top w:val="single" w:sz="14" w:space="0" w:color="000000"/>
              <w:left w:val="single" w:sz="14" w:space="0" w:color="000000"/>
              <w:bottom w:val="single" w:sz="14" w:space="0" w:color="000000"/>
              <w:right w:val="single" w:sz="3"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cs="Arial"/>
                <w:szCs w:val="19"/>
                <w:lang w:val="nl"/>
              </w:rPr>
              <w:t>18 uur</w:t>
            </w:r>
          </w:p>
        </w:tc>
        <w:tc>
          <w:tcPr>
            <w:tcW w:w="1417" w:type="dxa"/>
            <w:tcBorders>
              <w:top w:val="single" w:sz="14" w:space="0" w:color="000000"/>
              <w:left w:val="single" w:sz="3" w:space="0" w:color="000000"/>
              <w:bottom w:val="single" w:sz="14" w:space="0" w:color="000000"/>
              <w:right w:val="single" w:sz="14"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cs="Arial"/>
                <w:szCs w:val="19"/>
                <w:lang w:val="nl"/>
              </w:rPr>
              <w:t>18 uur</w:t>
            </w:r>
          </w:p>
        </w:tc>
        <w:tc>
          <w:tcPr>
            <w:tcW w:w="1701" w:type="dxa"/>
            <w:tcBorders>
              <w:top w:val="single" w:sz="14" w:space="0" w:color="000000"/>
              <w:left w:val="single" w:sz="14" w:space="0" w:color="000000"/>
              <w:bottom w:val="single" w:sz="14" w:space="0" w:color="000000"/>
              <w:right w:val="single" w:sz="14"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r>
              <w:rPr>
                <w:rFonts w:ascii="Calibri" w:hAnsi="Calibri" w:cs="Calibri"/>
                <w:sz w:val="22"/>
                <w:szCs w:val="22"/>
                <w:lang w:val="nl"/>
              </w:rPr>
              <w:t>38 uur</w:t>
            </w:r>
          </w:p>
        </w:tc>
        <w:tc>
          <w:tcPr>
            <w:tcW w:w="2553" w:type="dxa"/>
            <w:tcBorders>
              <w:top w:val="single" w:sz="14" w:space="0" w:color="000000"/>
              <w:left w:val="single" w:sz="14" w:space="0" w:color="000000"/>
              <w:bottom w:val="single" w:sz="14" w:space="0" w:color="000000"/>
              <w:right w:val="single" w:sz="14" w:space="0" w:color="000000"/>
            </w:tcBorders>
            <w:shd w:val="clear" w:color="000000" w:fill="FFFFFF"/>
          </w:tcPr>
          <w:p w:rsidR="001F37BF" w:rsidRDefault="001F37BF" w:rsidP="001F37BF">
            <w:pPr>
              <w:autoSpaceDE w:val="0"/>
              <w:autoSpaceDN w:val="0"/>
              <w:adjustRightInd w:val="0"/>
              <w:rPr>
                <w:rFonts w:ascii="Calibri" w:hAnsi="Calibri" w:cs="Calibri"/>
                <w:sz w:val="22"/>
                <w:szCs w:val="22"/>
                <w:lang w:val="nl"/>
              </w:rPr>
            </w:pPr>
          </w:p>
        </w:tc>
      </w:tr>
    </w:tbl>
    <w:p w:rsidR="001F37BF" w:rsidRDefault="001F37BF" w:rsidP="001F37BF">
      <w:pPr>
        <w:rPr>
          <w:b/>
          <w:lang w:val="nl"/>
        </w:rPr>
      </w:pPr>
    </w:p>
    <w:p w:rsidR="001F37BF" w:rsidRDefault="001F37BF" w:rsidP="001F37BF">
      <w:pPr>
        <w:rPr>
          <w:b/>
          <w:lang w:val="nl"/>
        </w:rPr>
      </w:pPr>
      <w:r>
        <w:rPr>
          <w:b/>
          <w:lang w:val="nl"/>
        </w:rPr>
        <w:t>Literatuur</w:t>
      </w:r>
    </w:p>
    <w:p w:rsidR="001F37BF" w:rsidRPr="001F37BF" w:rsidRDefault="001F37BF" w:rsidP="001F37BF">
      <w:pPr>
        <w:rPr>
          <w:rFonts w:cs="Arial"/>
          <w:b/>
          <w:bCs/>
          <w:sz w:val="20"/>
          <w:szCs w:val="20"/>
          <w:lang w:eastAsia="en-US"/>
        </w:rPr>
      </w:pPr>
      <w:r w:rsidRPr="00D4656B">
        <w:rPr>
          <w:rFonts w:cs="Arial"/>
          <w:b/>
          <w:bCs/>
          <w:sz w:val="20"/>
          <w:szCs w:val="20"/>
          <w:lang w:eastAsia="en-US"/>
        </w:rPr>
        <w:t>Te bestuderen literatuur voorafgaand aan  1</w:t>
      </w:r>
      <w:r w:rsidRPr="00D4656B">
        <w:rPr>
          <w:rFonts w:cs="Arial"/>
          <w:b/>
          <w:bCs/>
          <w:sz w:val="20"/>
          <w:szCs w:val="20"/>
          <w:vertAlign w:val="superscript"/>
          <w:lang w:eastAsia="en-US"/>
        </w:rPr>
        <w:t>e</w:t>
      </w:r>
      <w:r w:rsidRPr="00D4656B">
        <w:rPr>
          <w:rFonts w:cs="Arial"/>
          <w:b/>
          <w:bCs/>
          <w:sz w:val="20"/>
          <w:szCs w:val="20"/>
          <w:lang w:eastAsia="en-US"/>
        </w:rPr>
        <w:t xml:space="preserve"> cursusdag:</w:t>
      </w:r>
    </w:p>
    <w:p w:rsidR="001F37BF" w:rsidRDefault="001F37BF" w:rsidP="001F37BF">
      <w:pPr>
        <w:numPr>
          <w:ilvl w:val="0"/>
          <w:numId w:val="26"/>
        </w:numPr>
        <w:autoSpaceDE w:val="0"/>
        <w:autoSpaceDN w:val="0"/>
        <w:adjustRightInd w:val="0"/>
        <w:ind w:left="720" w:hanging="360"/>
        <w:rPr>
          <w:rFonts w:cs="Arial"/>
          <w:color w:val="000000"/>
          <w:szCs w:val="19"/>
          <w:lang w:val="nl"/>
        </w:rPr>
      </w:pPr>
      <w:r>
        <w:rPr>
          <w:rFonts w:cs="Arial"/>
          <w:color w:val="000000"/>
          <w:szCs w:val="19"/>
          <w:lang w:val="nl"/>
        </w:rPr>
        <w:t xml:space="preserve">Mevissen, L. &amp;  De Jongh, A. (2010). </w:t>
      </w:r>
      <w:r w:rsidRPr="005C1483">
        <w:rPr>
          <w:rFonts w:cs="Arial"/>
          <w:color w:val="000000"/>
          <w:szCs w:val="19"/>
          <w:lang w:val="en-GB"/>
        </w:rPr>
        <w:t xml:space="preserve">PTSD and its treatment in people with intellectual disabilities. </w:t>
      </w:r>
      <w:r w:rsidRPr="00F64445">
        <w:rPr>
          <w:rFonts w:cs="Arial"/>
          <w:i/>
          <w:iCs/>
          <w:color w:val="000000"/>
          <w:szCs w:val="19"/>
          <w:lang w:val="nl"/>
        </w:rPr>
        <w:t>Clinical Psychology Review, 30</w:t>
      </w:r>
      <w:r>
        <w:rPr>
          <w:rFonts w:cs="Arial"/>
          <w:color w:val="000000"/>
          <w:szCs w:val="19"/>
          <w:lang w:val="nl"/>
        </w:rPr>
        <w:t xml:space="preserve">, 308-316. </w:t>
      </w:r>
    </w:p>
    <w:p w:rsidR="001F37BF" w:rsidRDefault="001F37BF" w:rsidP="001F37BF">
      <w:pPr>
        <w:autoSpaceDE w:val="0"/>
        <w:autoSpaceDN w:val="0"/>
        <w:adjustRightInd w:val="0"/>
        <w:ind w:left="360"/>
        <w:rPr>
          <w:rFonts w:cs="Arial"/>
          <w:color w:val="000000"/>
          <w:szCs w:val="19"/>
          <w:lang w:val="nl"/>
        </w:rPr>
      </w:pPr>
    </w:p>
    <w:p w:rsidR="001F37BF" w:rsidRPr="004451E5" w:rsidRDefault="001F37BF" w:rsidP="001F37BF">
      <w:pPr>
        <w:numPr>
          <w:ilvl w:val="0"/>
          <w:numId w:val="26"/>
        </w:numPr>
        <w:autoSpaceDE w:val="0"/>
        <w:autoSpaceDN w:val="0"/>
        <w:adjustRightInd w:val="0"/>
        <w:ind w:left="720" w:hanging="360"/>
        <w:rPr>
          <w:rFonts w:ascii="Calibri" w:hAnsi="Calibri" w:cs="Calibri"/>
          <w:sz w:val="22"/>
          <w:szCs w:val="22"/>
          <w:lang w:val="nl"/>
        </w:rPr>
      </w:pPr>
      <w:r>
        <w:rPr>
          <w:rFonts w:cs="Arial"/>
          <w:color w:val="000000"/>
          <w:szCs w:val="19"/>
          <w:lang w:val="nl"/>
        </w:rPr>
        <w:t xml:space="preserve">Mevissen, L. Barnhoorn, E., Didden, R., Korzilius, H., &amp; De Jongh, A. (2014). </w:t>
      </w:r>
      <w:r w:rsidRPr="005C1483">
        <w:rPr>
          <w:rFonts w:cs="Arial"/>
          <w:color w:val="000000"/>
          <w:szCs w:val="19"/>
          <w:lang w:val="en-GB"/>
        </w:rPr>
        <w:t xml:space="preserve">Clinical assessment of PTSD in children with mild to borderline intellectual disabilities: A pilot study. </w:t>
      </w:r>
      <w:r w:rsidRPr="00F64445">
        <w:rPr>
          <w:rFonts w:cs="Arial"/>
          <w:i/>
          <w:iCs/>
          <w:color w:val="000000"/>
          <w:szCs w:val="19"/>
          <w:lang w:val="nl"/>
        </w:rPr>
        <w:t>Developmental Neurorehabilitation, 17</w:t>
      </w:r>
      <w:r>
        <w:rPr>
          <w:rFonts w:cs="Arial"/>
          <w:color w:val="000000"/>
          <w:szCs w:val="19"/>
          <w:lang w:val="nl"/>
        </w:rPr>
        <w:t>; 16-23.</w:t>
      </w:r>
    </w:p>
    <w:p w:rsidR="001F37BF" w:rsidRPr="00DD0897" w:rsidRDefault="001F37BF" w:rsidP="001F37BF">
      <w:pPr>
        <w:autoSpaceDE w:val="0"/>
        <w:autoSpaceDN w:val="0"/>
        <w:adjustRightInd w:val="0"/>
        <w:ind w:left="360"/>
        <w:rPr>
          <w:rFonts w:ascii="Calibri" w:hAnsi="Calibri" w:cs="Calibri"/>
          <w:sz w:val="22"/>
          <w:szCs w:val="22"/>
          <w:lang w:val="nl"/>
        </w:rPr>
      </w:pPr>
    </w:p>
    <w:p w:rsidR="001F37BF" w:rsidRPr="004451E5" w:rsidRDefault="001F37BF" w:rsidP="001F37BF">
      <w:pPr>
        <w:numPr>
          <w:ilvl w:val="0"/>
          <w:numId w:val="26"/>
        </w:numPr>
        <w:autoSpaceDE w:val="0"/>
        <w:autoSpaceDN w:val="0"/>
        <w:adjustRightInd w:val="0"/>
        <w:ind w:left="720" w:hanging="360"/>
        <w:rPr>
          <w:rFonts w:ascii="Calibri" w:hAnsi="Calibri" w:cs="Calibri"/>
          <w:sz w:val="22"/>
          <w:szCs w:val="22"/>
          <w:lang w:val="en-GB"/>
        </w:rPr>
      </w:pPr>
      <w:r w:rsidRPr="00DD0897">
        <w:rPr>
          <w:rFonts w:cs="Arial"/>
          <w:color w:val="000000"/>
          <w:szCs w:val="19"/>
        </w:rPr>
        <w:t xml:space="preserve">Mevissen, L., </w:t>
      </w:r>
      <w:proofErr w:type="spellStart"/>
      <w:r w:rsidRPr="00DD0897">
        <w:rPr>
          <w:rFonts w:cs="Arial"/>
          <w:color w:val="000000"/>
          <w:szCs w:val="19"/>
        </w:rPr>
        <w:t>Didden</w:t>
      </w:r>
      <w:proofErr w:type="spellEnd"/>
      <w:r w:rsidRPr="00DD0897">
        <w:rPr>
          <w:rFonts w:cs="Arial"/>
          <w:color w:val="000000"/>
          <w:szCs w:val="19"/>
        </w:rPr>
        <w:t xml:space="preserve">, R., </w:t>
      </w:r>
      <w:proofErr w:type="spellStart"/>
      <w:r w:rsidRPr="00DD0897">
        <w:rPr>
          <w:rFonts w:cs="Arial"/>
          <w:color w:val="000000"/>
          <w:szCs w:val="19"/>
        </w:rPr>
        <w:t>Korzilius</w:t>
      </w:r>
      <w:proofErr w:type="spellEnd"/>
      <w:r w:rsidRPr="00DD0897">
        <w:rPr>
          <w:rFonts w:cs="Arial"/>
          <w:color w:val="000000"/>
          <w:szCs w:val="19"/>
        </w:rPr>
        <w:t xml:space="preserve">, H., &amp; De Jongh, A. (2016). </w:t>
      </w:r>
      <w:r>
        <w:rPr>
          <w:rFonts w:cs="Arial"/>
          <w:color w:val="000000"/>
          <w:szCs w:val="19"/>
          <w:lang w:val="en-GB"/>
        </w:rPr>
        <w:t>A</w:t>
      </w:r>
      <w:r w:rsidRPr="005C1483">
        <w:rPr>
          <w:rFonts w:cs="Arial"/>
          <w:color w:val="000000"/>
          <w:szCs w:val="19"/>
          <w:lang w:val="en-GB"/>
        </w:rPr>
        <w:t>ssessment of PTSD in children with mild to borderline intellectual disabilities</w:t>
      </w:r>
      <w:r>
        <w:rPr>
          <w:rFonts w:cs="Arial"/>
          <w:color w:val="000000"/>
          <w:szCs w:val="19"/>
          <w:lang w:val="en-GB"/>
        </w:rPr>
        <w:t xml:space="preserve">. </w:t>
      </w:r>
      <w:r w:rsidRPr="00F64445">
        <w:rPr>
          <w:rFonts w:cs="Arial"/>
          <w:i/>
          <w:iCs/>
          <w:color w:val="000000"/>
          <w:szCs w:val="19"/>
          <w:lang w:val="en-GB"/>
        </w:rPr>
        <w:t xml:space="preserve">European Journal of </w:t>
      </w:r>
      <w:proofErr w:type="spellStart"/>
      <w:r w:rsidRPr="00F64445">
        <w:rPr>
          <w:rFonts w:cs="Arial"/>
          <w:i/>
          <w:iCs/>
          <w:color w:val="000000"/>
          <w:szCs w:val="19"/>
          <w:lang w:val="en-GB"/>
        </w:rPr>
        <w:t>Psychotraumatology</w:t>
      </w:r>
      <w:proofErr w:type="spellEnd"/>
      <w:r w:rsidRPr="00F64445">
        <w:rPr>
          <w:rFonts w:cs="Arial"/>
          <w:i/>
          <w:iCs/>
          <w:color w:val="000000"/>
          <w:szCs w:val="19"/>
          <w:lang w:val="en-GB"/>
        </w:rPr>
        <w:t>, 7</w:t>
      </w:r>
      <w:r>
        <w:rPr>
          <w:rFonts w:cs="Arial"/>
          <w:color w:val="000000"/>
          <w:szCs w:val="19"/>
          <w:lang w:val="en-GB"/>
        </w:rPr>
        <w:t xml:space="preserve">, 29786 (9 </w:t>
      </w:r>
      <w:proofErr w:type="spellStart"/>
      <w:r>
        <w:rPr>
          <w:rFonts w:cs="Arial"/>
          <w:color w:val="000000"/>
          <w:szCs w:val="19"/>
          <w:lang w:val="en-GB"/>
        </w:rPr>
        <w:t>pag</w:t>
      </w:r>
      <w:proofErr w:type="spellEnd"/>
      <w:r>
        <w:rPr>
          <w:rFonts w:cs="Arial"/>
          <w:color w:val="000000"/>
          <w:szCs w:val="19"/>
          <w:lang w:val="en-GB"/>
        </w:rPr>
        <w:t>)</w:t>
      </w:r>
    </w:p>
    <w:p w:rsidR="001F37BF" w:rsidRPr="004451E5" w:rsidRDefault="001F37BF" w:rsidP="001F37BF">
      <w:pPr>
        <w:autoSpaceDE w:val="0"/>
        <w:autoSpaceDN w:val="0"/>
        <w:adjustRightInd w:val="0"/>
        <w:ind w:left="360"/>
        <w:rPr>
          <w:rFonts w:ascii="Calibri" w:hAnsi="Calibri" w:cs="Calibri"/>
          <w:sz w:val="22"/>
          <w:szCs w:val="22"/>
          <w:lang w:val="en-GB"/>
        </w:rPr>
      </w:pPr>
    </w:p>
    <w:p w:rsidR="001F37BF" w:rsidRDefault="001F37BF" w:rsidP="001F37BF">
      <w:pPr>
        <w:numPr>
          <w:ilvl w:val="0"/>
          <w:numId w:val="27"/>
        </w:numPr>
        <w:spacing w:line="240" w:lineRule="auto"/>
        <w:jc w:val="both"/>
        <w:rPr>
          <w:rFonts w:cs="Arial"/>
          <w:color w:val="000000"/>
          <w:sz w:val="20"/>
          <w:szCs w:val="20"/>
        </w:rPr>
      </w:pPr>
      <w:r w:rsidRPr="00DD0897">
        <w:rPr>
          <w:rFonts w:cs="Arial"/>
          <w:color w:val="000000"/>
          <w:szCs w:val="19"/>
        </w:rPr>
        <w:t xml:space="preserve">Mevissen, L., </w:t>
      </w:r>
      <w:proofErr w:type="spellStart"/>
      <w:r w:rsidRPr="00DD0897">
        <w:rPr>
          <w:rFonts w:cs="Arial"/>
          <w:color w:val="000000"/>
          <w:szCs w:val="19"/>
        </w:rPr>
        <w:t>Didden</w:t>
      </w:r>
      <w:proofErr w:type="spellEnd"/>
      <w:r w:rsidRPr="00DD0897">
        <w:rPr>
          <w:rFonts w:cs="Arial"/>
          <w:color w:val="000000"/>
          <w:szCs w:val="19"/>
        </w:rPr>
        <w:t>, &amp; De Jongh, A. (2016</w:t>
      </w:r>
      <w:r>
        <w:rPr>
          <w:rFonts w:cs="Arial"/>
          <w:color w:val="000000"/>
          <w:szCs w:val="19"/>
        </w:rPr>
        <w:t xml:space="preserve">). EMDR-therapie voor posttraumatische stressstoornis bij kinderen en adolescenten met een licht verstandelijke beperking. Een multiple baseline studie. </w:t>
      </w:r>
      <w:r w:rsidRPr="00F64445">
        <w:rPr>
          <w:rFonts w:cs="Arial"/>
          <w:i/>
          <w:iCs/>
          <w:color w:val="000000"/>
          <w:szCs w:val="19"/>
        </w:rPr>
        <w:t>Directieve Therapie, 36</w:t>
      </w:r>
      <w:r>
        <w:rPr>
          <w:rFonts w:cs="Arial"/>
          <w:color w:val="000000"/>
          <w:szCs w:val="19"/>
        </w:rPr>
        <w:t>, 3, 169-183</w:t>
      </w:r>
    </w:p>
    <w:p w:rsidR="001F37BF" w:rsidRPr="00DD0897" w:rsidRDefault="001F37BF" w:rsidP="001F37BF">
      <w:pPr>
        <w:autoSpaceDE w:val="0"/>
        <w:autoSpaceDN w:val="0"/>
        <w:adjustRightInd w:val="0"/>
        <w:ind w:left="720"/>
        <w:rPr>
          <w:rFonts w:ascii="Calibri" w:hAnsi="Calibri" w:cs="Calibri"/>
          <w:sz w:val="22"/>
          <w:szCs w:val="22"/>
          <w:lang w:val="en-GB"/>
        </w:rPr>
      </w:pPr>
    </w:p>
    <w:p w:rsidR="001F37BF" w:rsidRPr="00D4656B" w:rsidRDefault="001F37BF" w:rsidP="001F37BF">
      <w:pPr>
        <w:rPr>
          <w:rFonts w:cs="Arial"/>
          <w:b/>
          <w:bCs/>
          <w:sz w:val="20"/>
          <w:szCs w:val="20"/>
          <w:lang w:eastAsia="en-US"/>
        </w:rPr>
      </w:pPr>
      <w:r w:rsidRPr="00D4656B">
        <w:rPr>
          <w:rFonts w:cs="Arial"/>
          <w:b/>
          <w:bCs/>
          <w:sz w:val="20"/>
          <w:szCs w:val="20"/>
          <w:lang w:eastAsia="en-US"/>
        </w:rPr>
        <w:t>Te bestuderen literatuur voorafgaand aan  2</w:t>
      </w:r>
      <w:r w:rsidRPr="00D4656B">
        <w:rPr>
          <w:rFonts w:cs="Arial"/>
          <w:b/>
          <w:bCs/>
          <w:sz w:val="20"/>
          <w:szCs w:val="20"/>
          <w:vertAlign w:val="superscript"/>
          <w:lang w:eastAsia="en-US"/>
        </w:rPr>
        <w:t>e</w:t>
      </w:r>
      <w:r w:rsidRPr="00D4656B">
        <w:rPr>
          <w:rFonts w:cs="Arial"/>
          <w:b/>
          <w:bCs/>
          <w:sz w:val="20"/>
          <w:szCs w:val="20"/>
          <w:lang w:eastAsia="en-US"/>
        </w:rPr>
        <w:t xml:space="preserve"> cursusdag:</w:t>
      </w:r>
    </w:p>
    <w:p w:rsidR="001F37BF" w:rsidRPr="00765D09" w:rsidRDefault="001F37BF" w:rsidP="001F37BF">
      <w:pPr>
        <w:rPr>
          <w:rFonts w:cs="Arial"/>
          <w:sz w:val="20"/>
          <w:szCs w:val="20"/>
        </w:rPr>
      </w:pPr>
    </w:p>
    <w:p w:rsidR="001F37BF" w:rsidRDefault="001F37BF" w:rsidP="001F37BF">
      <w:pPr>
        <w:numPr>
          <w:ilvl w:val="0"/>
          <w:numId w:val="28"/>
        </w:numPr>
        <w:autoSpaceDE w:val="0"/>
        <w:autoSpaceDN w:val="0"/>
        <w:adjustRightInd w:val="0"/>
        <w:rPr>
          <w:rFonts w:cs="Arial"/>
          <w:szCs w:val="19"/>
          <w:lang w:val="nl"/>
        </w:rPr>
      </w:pPr>
      <w:r>
        <w:rPr>
          <w:rFonts w:cs="Arial"/>
          <w:szCs w:val="19"/>
          <w:lang w:val="nl"/>
        </w:rPr>
        <w:t>Mevissen, L.  (2015).  EMDR bij mensen met een verstandelijke beperking. In:</w:t>
      </w:r>
    </w:p>
    <w:p w:rsidR="001F37BF" w:rsidRDefault="001F37BF" w:rsidP="001F37BF">
      <w:pPr>
        <w:autoSpaceDE w:val="0"/>
        <w:autoSpaceDN w:val="0"/>
        <w:adjustRightInd w:val="0"/>
        <w:ind w:left="791"/>
        <w:rPr>
          <w:rFonts w:cs="Arial"/>
          <w:szCs w:val="19"/>
          <w:lang w:val="nl"/>
        </w:rPr>
      </w:pPr>
      <w:r>
        <w:rPr>
          <w:rFonts w:cs="Arial"/>
          <w:szCs w:val="19"/>
          <w:lang w:val="nl"/>
        </w:rPr>
        <w:t>Oppenheim, H-J., Hornsveld, H., ten Broeke, E., &amp; de Jongh, A. (red.) Praktijkboek EMDR deel II. Amsterdam: Pearson. pag. 251-283</w:t>
      </w:r>
    </w:p>
    <w:p w:rsidR="001F37BF" w:rsidRDefault="001F37BF" w:rsidP="001F37BF">
      <w:pPr>
        <w:autoSpaceDE w:val="0"/>
        <w:autoSpaceDN w:val="0"/>
        <w:adjustRightInd w:val="0"/>
        <w:ind w:left="791"/>
        <w:rPr>
          <w:rFonts w:cs="Arial"/>
          <w:szCs w:val="19"/>
          <w:lang w:val="nl"/>
        </w:rPr>
      </w:pPr>
    </w:p>
    <w:p w:rsidR="001F37BF" w:rsidRDefault="001F37BF" w:rsidP="001F37BF">
      <w:pPr>
        <w:numPr>
          <w:ilvl w:val="0"/>
          <w:numId w:val="28"/>
        </w:numPr>
        <w:autoSpaceDE w:val="0"/>
        <w:autoSpaceDN w:val="0"/>
        <w:adjustRightInd w:val="0"/>
        <w:rPr>
          <w:rFonts w:cs="Arial"/>
          <w:sz w:val="18"/>
          <w:szCs w:val="18"/>
          <w:lang w:val="nl"/>
        </w:rPr>
      </w:pPr>
      <w:r w:rsidRPr="00C823F1">
        <w:rPr>
          <w:rFonts w:cs="Arial"/>
          <w:sz w:val="18"/>
          <w:szCs w:val="18"/>
          <w:lang w:val="nl"/>
        </w:rPr>
        <w:t>Leuning, E. (2015). EMDR bij autisme. In: Oppenheim, H-J., Hornsveld, H., ten Broeke, E., &amp; de Jongh, A. (red.) Praktijkboek EMDR deel II. Amsterdam: Pearson. Pag. 217-250</w:t>
      </w:r>
    </w:p>
    <w:p w:rsidR="001F37BF" w:rsidRPr="00C823F1" w:rsidRDefault="001F37BF" w:rsidP="001F37BF">
      <w:pPr>
        <w:autoSpaceDE w:val="0"/>
        <w:autoSpaceDN w:val="0"/>
        <w:adjustRightInd w:val="0"/>
        <w:ind w:left="360"/>
        <w:rPr>
          <w:rFonts w:cs="Arial"/>
          <w:sz w:val="18"/>
          <w:szCs w:val="18"/>
          <w:lang w:val="nl"/>
        </w:rPr>
      </w:pPr>
    </w:p>
    <w:p w:rsidR="001F37BF" w:rsidRDefault="001F37BF" w:rsidP="001F37BF">
      <w:pPr>
        <w:numPr>
          <w:ilvl w:val="0"/>
          <w:numId w:val="28"/>
        </w:numPr>
        <w:spacing w:line="240" w:lineRule="auto"/>
        <w:rPr>
          <w:rFonts w:cs="Arial"/>
          <w:sz w:val="20"/>
          <w:szCs w:val="20"/>
        </w:rPr>
      </w:pPr>
      <w:r w:rsidRPr="004D5022">
        <w:rPr>
          <w:rFonts w:cs="Arial"/>
          <w:sz w:val="20"/>
          <w:szCs w:val="20"/>
        </w:rPr>
        <w:t xml:space="preserve">Mevissen, L., </w:t>
      </w:r>
      <w:proofErr w:type="spellStart"/>
      <w:r w:rsidRPr="004D5022">
        <w:rPr>
          <w:rFonts w:cs="Arial"/>
          <w:sz w:val="20"/>
          <w:szCs w:val="20"/>
        </w:rPr>
        <w:t>Didden</w:t>
      </w:r>
      <w:proofErr w:type="spellEnd"/>
      <w:r w:rsidRPr="004D5022">
        <w:rPr>
          <w:rFonts w:cs="Arial"/>
          <w:sz w:val="20"/>
          <w:szCs w:val="20"/>
        </w:rPr>
        <w:t xml:space="preserve">, R., &amp; de Jongh, A. (2016) EMDR voor trauma- en </w:t>
      </w:r>
      <w:proofErr w:type="spellStart"/>
      <w:r w:rsidRPr="004D5022">
        <w:rPr>
          <w:rFonts w:cs="Arial"/>
          <w:sz w:val="20"/>
          <w:szCs w:val="20"/>
        </w:rPr>
        <w:t>stressorgerelateerde</w:t>
      </w:r>
      <w:proofErr w:type="spellEnd"/>
      <w:r w:rsidRPr="004D5022">
        <w:rPr>
          <w:rFonts w:cs="Arial"/>
          <w:sz w:val="20"/>
          <w:szCs w:val="20"/>
        </w:rPr>
        <w:t xml:space="preserve"> klachten bij patiënten met een verstandelijke beperking. Overzicht en casusbespreking. </w:t>
      </w:r>
      <w:r w:rsidRPr="004D5022">
        <w:rPr>
          <w:rFonts w:cs="Arial"/>
          <w:i/>
          <w:iCs/>
          <w:sz w:val="20"/>
          <w:szCs w:val="20"/>
        </w:rPr>
        <w:t>Directieve Therapie</w:t>
      </w:r>
      <w:r w:rsidRPr="004D5022">
        <w:rPr>
          <w:rFonts w:cs="Arial"/>
          <w:sz w:val="20"/>
          <w:szCs w:val="20"/>
        </w:rPr>
        <w:t>, 36, 1, 5-26</w:t>
      </w:r>
    </w:p>
    <w:p w:rsidR="001F37BF" w:rsidRPr="004D5022" w:rsidRDefault="001F37BF" w:rsidP="001F37BF">
      <w:pPr>
        <w:ind w:left="360"/>
        <w:rPr>
          <w:rFonts w:cs="Arial"/>
          <w:sz w:val="20"/>
          <w:szCs w:val="20"/>
        </w:rPr>
      </w:pPr>
    </w:p>
    <w:p w:rsidR="001F37BF" w:rsidRPr="004D5022" w:rsidRDefault="001F37BF" w:rsidP="001F37BF">
      <w:pPr>
        <w:numPr>
          <w:ilvl w:val="0"/>
          <w:numId w:val="26"/>
        </w:numPr>
        <w:autoSpaceDE w:val="0"/>
        <w:autoSpaceDN w:val="0"/>
        <w:adjustRightInd w:val="0"/>
        <w:ind w:left="720" w:hanging="360"/>
        <w:rPr>
          <w:rFonts w:cs="Arial"/>
          <w:sz w:val="20"/>
          <w:szCs w:val="20"/>
          <w:lang w:val="nl"/>
        </w:rPr>
      </w:pPr>
      <w:r w:rsidRPr="004D5022">
        <w:rPr>
          <w:rFonts w:cs="Arial"/>
          <w:sz w:val="20"/>
          <w:szCs w:val="20"/>
          <w:lang w:val="nl"/>
        </w:rPr>
        <w:t>Mevissen, L. &amp; Ross, A., Kind &amp; Adolescent Praktijk. Samen beter worden, 2014, (DOI) 10.1007/s12454-014-0004-1</w:t>
      </w:r>
      <w:r>
        <w:rPr>
          <w:rFonts w:cs="Arial"/>
          <w:sz w:val="20"/>
          <w:szCs w:val="20"/>
          <w:lang w:val="nl"/>
        </w:rPr>
        <w:t xml:space="preserve"> (9 pag)</w:t>
      </w:r>
    </w:p>
    <w:p w:rsidR="001F37BF" w:rsidRPr="00DC0251" w:rsidRDefault="001F37BF" w:rsidP="001F37BF">
      <w:pPr>
        <w:spacing w:line="240" w:lineRule="atLeast"/>
        <w:rPr>
          <w:rFonts w:cs="Arial"/>
          <w:color w:val="000000"/>
          <w:sz w:val="20"/>
          <w:szCs w:val="20"/>
        </w:rPr>
      </w:pPr>
    </w:p>
    <w:p w:rsidR="001F37BF" w:rsidRPr="001F37BF" w:rsidRDefault="001F37BF" w:rsidP="001F37BF">
      <w:pPr>
        <w:rPr>
          <w:rFonts w:cs="Arial"/>
          <w:b/>
          <w:bCs/>
          <w:sz w:val="20"/>
          <w:szCs w:val="20"/>
          <w:lang w:eastAsia="en-US"/>
        </w:rPr>
      </w:pPr>
      <w:r w:rsidRPr="00D4656B">
        <w:rPr>
          <w:rFonts w:cs="Arial"/>
          <w:b/>
          <w:bCs/>
          <w:sz w:val="20"/>
          <w:szCs w:val="20"/>
          <w:lang w:eastAsia="en-US"/>
        </w:rPr>
        <w:t>Te bestuderen literatuur voorafgaand aan 3</w:t>
      </w:r>
      <w:r w:rsidRPr="00D4656B">
        <w:rPr>
          <w:rFonts w:cs="Arial"/>
          <w:b/>
          <w:bCs/>
          <w:sz w:val="20"/>
          <w:szCs w:val="20"/>
          <w:vertAlign w:val="superscript"/>
          <w:lang w:eastAsia="en-US"/>
        </w:rPr>
        <w:t>e</w:t>
      </w:r>
      <w:r w:rsidRPr="00D4656B">
        <w:rPr>
          <w:rFonts w:cs="Arial"/>
          <w:b/>
          <w:bCs/>
          <w:sz w:val="20"/>
          <w:szCs w:val="20"/>
          <w:lang w:eastAsia="en-US"/>
        </w:rPr>
        <w:t xml:space="preserve"> cursusdag:</w:t>
      </w:r>
      <w:bookmarkStart w:id="1" w:name="_GoBack"/>
      <w:bookmarkEnd w:id="1"/>
    </w:p>
    <w:p w:rsidR="001F37BF" w:rsidRDefault="001F37BF" w:rsidP="001F37BF">
      <w:pPr>
        <w:numPr>
          <w:ilvl w:val="0"/>
          <w:numId w:val="29"/>
        </w:numPr>
        <w:spacing w:before="100" w:beforeAutospacing="1" w:after="100" w:afterAutospacing="1" w:line="240" w:lineRule="auto"/>
        <w:textAlignment w:val="top"/>
        <w:rPr>
          <w:rFonts w:cs="Arial"/>
          <w:bCs/>
          <w:sz w:val="20"/>
          <w:szCs w:val="20"/>
          <w:lang w:val="en-GB"/>
        </w:rPr>
      </w:pPr>
      <w:proofErr w:type="spellStart"/>
      <w:r w:rsidRPr="004D5022">
        <w:rPr>
          <w:rFonts w:cs="Arial"/>
          <w:bCs/>
          <w:sz w:val="20"/>
          <w:szCs w:val="20"/>
          <w:lang w:val="en-GB"/>
        </w:rPr>
        <w:t>Gilderthorp</w:t>
      </w:r>
      <w:proofErr w:type="spellEnd"/>
      <w:r w:rsidRPr="004D5022">
        <w:rPr>
          <w:rFonts w:cs="Arial"/>
          <w:bCs/>
          <w:sz w:val="20"/>
          <w:szCs w:val="20"/>
          <w:lang w:val="en-GB"/>
        </w:rPr>
        <w:t xml:space="preserve">, R. (2015). Is EMDR an effective treatment for people diagnosed with both intellectual disability and post-traumatic stress disorder? </w:t>
      </w:r>
      <w:r w:rsidRPr="004D5022">
        <w:rPr>
          <w:rFonts w:cs="Arial"/>
          <w:bCs/>
          <w:i/>
          <w:iCs/>
          <w:sz w:val="20"/>
          <w:szCs w:val="20"/>
          <w:lang w:val="en-GB"/>
        </w:rPr>
        <w:t>Journal of Intellectual Disabilities</w:t>
      </w:r>
      <w:r w:rsidRPr="004D5022">
        <w:rPr>
          <w:rFonts w:cs="Arial"/>
          <w:bCs/>
          <w:sz w:val="20"/>
          <w:szCs w:val="20"/>
          <w:lang w:val="en-GB"/>
        </w:rPr>
        <w:t>, 19, 58-68.</w:t>
      </w:r>
    </w:p>
    <w:p w:rsidR="001F37BF" w:rsidRDefault="001F37BF" w:rsidP="001F37BF">
      <w:pPr>
        <w:numPr>
          <w:ilvl w:val="0"/>
          <w:numId w:val="29"/>
        </w:numPr>
        <w:spacing w:line="276" w:lineRule="auto"/>
        <w:rPr>
          <w:rFonts w:cs="Arial"/>
          <w:color w:val="000000"/>
          <w:szCs w:val="19"/>
        </w:rPr>
      </w:pPr>
      <w:r w:rsidRPr="00BA0D40">
        <w:rPr>
          <w:rFonts w:cs="Arial"/>
          <w:color w:val="000000"/>
          <w:szCs w:val="19"/>
        </w:rPr>
        <w:t>Struik, A. (2010). Slapende honden wakker maken? Een stabilisatiemethode voor chronisch getraumatiseerde kinderen. Amsterdam: Pearson</w:t>
      </w:r>
      <w:r>
        <w:rPr>
          <w:rFonts w:cs="Arial"/>
          <w:color w:val="000000"/>
          <w:szCs w:val="19"/>
        </w:rPr>
        <w:t xml:space="preserve"> pag. 115 t/m 179 </w:t>
      </w:r>
    </w:p>
    <w:p w:rsidR="001F37BF" w:rsidRPr="001F37BF" w:rsidRDefault="001F37BF" w:rsidP="001F37BF">
      <w:pPr>
        <w:rPr>
          <w:b/>
          <w:lang w:val="nl"/>
        </w:rPr>
      </w:pPr>
    </w:p>
    <w:sectPr w:rsidR="001F37BF" w:rsidRPr="001F37BF"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F4" w:rsidRDefault="000076F4">
      <w:r>
        <w:separator/>
      </w:r>
    </w:p>
  </w:endnote>
  <w:endnote w:type="continuationSeparator" w:id="0">
    <w:p w:rsidR="000076F4" w:rsidRDefault="0000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2E4C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88DB7"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CEBB6"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7B6A0"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2398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F4" w:rsidRDefault="000076F4">
      <w:r>
        <w:separator/>
      </w:r>
    </w:p>
  </w:footnote>
  <w:footnote w:type="continuationSeparator" w:id="0">
    <w:p w:rsidR="000076F4" w:rsidRDefault="0000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F035DA"/>
    <w:lvl w:ilvl="0">
      <w:numFmt w:val="decimal"/>
      <w:lvlText w:val="*"/>
      <w:lvlJc w:val="left"/>
    </w:lvl>
  </w:abstractNum>
  <w:abstractNum w:abstractNumId="1"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2" w15:restartNumberingAfterBreak="0">
    <w:nsid w:val="078107F4"/>
    <w:multiLevelType w:val="hybridMultilevel"/>
    <w:tmpl w:val="9C3C3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4"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652D37"/>
    <w:multiLevelType w:val="hybridMultilevel"/>
    <w:tmpl w:val="5FBC13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8"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9" w15:restartNumberingAfterBreak="0">
    <w:nsid w:val="136D7A18"/>
    <w:multiLevelType w:val="hybridMultilevel"/>
    <w:tmpl w:val="06FE8FB6"/>
    <w:lvl w:ilvl="0" w:tplc="62862C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2"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4"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5" w15:restartNumberingAfterBreak="0">
    <w:nsid w:val="2CA318F3"/>
    <w:multiLevelType w:val="hybridMultilevel"/>
    <w:tmpl w:val="4F9C85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4D516689"/>
    <w:multiLevelType w:val="hybridMultilevel"/>
    <w:tmpl w:val="BA68DE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9"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0"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1"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2"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3"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4"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5"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6"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7"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8"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6"/>
  </w:num>
  <w:num w:numId="2">
    <w:abstractNumId w:val="12"/>
  </w:num>
  <w:num w:numId="3">
    <w:abstractNumId w:val="12"/>
  </w:num>
  <w:num w:numId="4">
    <w:abstractNumId w:val="16"/>
  </w:num>
  <w:num w:numId="5">
    <w:abstractNumId w:val="4"/>
  </w:num>
  <w:num w:numId="6">
    <w:abstractNumId w:val="10"/>
  </w:num>
  <w:num w:numId="7">
    <w:abstractNumId w:val="7"/>
  </w:num>
  <w:num w:numId="8">
    <w:abstractNumId w:val="22"/>
  </w:num>
  <w:num w:numId="9">
    <w:abstractNumId w:val="21"/>
  </w:num>
  <w:num w:numId="10">
    <w:abstractNumId w:val="14"/>
  </w:num>
  <w:num w:numId="11">
    <w:abstractNumId w:val="24"/>
  </w:num>
  <w:num w:numId="12">
    <w:abstractNumId w:val="26"/>
  </w:num>
  <w:num w:numId="13">
    <w:abstractNumId w:val="1"/>
  </w:num>
  <w:num w:numId="14">
    <w:abstractNumId w:val="19"/>
  </w:num>
  <w:num w:numId="15">
    <w:abstractNumId w:val="23"/>
  </w:num>
  <w:num w:numId="16">
    <w:abstractNumId w:val="13"/>
  </w:num>
  <w:num w:numId="17">
    <w:abstractNumId w:val="18"/>
  </w:num>
  <w:num w:numId="18">
    <w:abstractNumId w:val="20"/>
  </w:num>
  <w:num w:numId="19">
    <w:abstractNumId w:val="25"/>
  </w:num>
  <w:num w:numId="20">
    <w:abstractNumId w:val="8"/>
  </w:num>
  <w:num w:numId="21">
    <w:abstractNumId w:val="28"/>
  </w:num>
  <w:num w:numId="22">
    <w:abstractNumId w:val="3"/>
  </w:num>
  <w:num w:numId="23">
    <w:abstractNumId w:val="27"/>
  </w:num>
  <w:num w:numId="24">
    <w:abstractNumId w:val="2"/>
  </w:num>
  <w:num w:numId="25">
    <w:abstractNumId w:val="9"/>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17"/>
  </w:num>
  <w:num w:numId="28">
    <w:abstractNumId w:val="5"/>
  </w:num>
  <w:num w:numId="2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1F37BF"/>
    <w:rsid w:val="000076F4"/>
    <w:rsid w:val="00041650"/>
    <w:rsid w:val="00057EE9"/>
    <w:rsid w:val="0006037B"/>
    <w:rsid w:val="00060A42"/>
    <w:rsid w:val="000D43CE"/>
    <w:rsid w:val="000E397C"/>
    <w:rsid w:val="000F30A4"/>
    <w:rsid w:val="000F3526"/>
    <w:rsid w:val="00116BE4"/>
    <w:rsid w:val="00137FE8"/>
    <w:rsid w:val="00161A0B"/>
    <w:rsid w:val="001876AA"/>
    <w:rsid w:val="00187C17"/>
    <w:rsid w:val="0019604D"/>
    <w:rsid w:val="001F37BF"/>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5EC26445"/>
  <w15:chartTrackingRefBased/>
  <w15:docId w15:val="{6920944F-A3E0-414F-85DA-3BBCE0DA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1F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1141</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2016-09-21T09:27:00Z</dcterms:created>
  <dcterms:modified xsi:type="dcterms:W3CDTF">2016-09-21T09:35:00Z</dcterms:modified>
</cp:coreProperties>
</file>